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1"/>
        <w:gridCol w:w="5151"/>
        <w:gridCol w:w="5151"/>
      </w:tblGrid>
      <w:tr>
        <w:tc>
          <w:tcPr>
            <w:tcW w:type="dxa" w:w="1512"/>
            <w:vAlign w:val="center"/>
          </w:tcPr>
          <w:p>
            <w:pPr>
              <w:spacing w:before="0" w:after="0"/>
              <w:jc w:val="lef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22960" cy="8229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hatsApp Image 2026-08-12 at 15.05.23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2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95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006666"/>
                <w:sz w:val="30"/>
              </w:rPr>
              <w:t>CONSEIL RÉGIONAL DE LA MÉ</w:t>
              <w:br/>
            </w:r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APPEL À CANDIDATURES FJAC / YCAF — LA MÉ</w:t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17365D"/>
                <w:sz w:val="32"/>
              </w:rPr>
              <w:t>GRILLE DE NOTATION — PARTIE B</w:t>
            </w:r>
          </w:p>
        </w:tc>
        <w:tc>
          <w:tcPr>
            <w:tcW w:type="dxa" w:w="1512"/>
            <w:vAlign w:val="center"/>
          </w:tcPr>
          <w:p>
            <w:pPr>
              <w:spacing w:before="0" w:after="0"/>
              <w:jc w:val="righ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22960" cy="738081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CONSEL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73808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160"/>
        <w:jc w:val="center"/>
      </w:pPr>
      <w:r>
        <w:rPr>
          <w:rFonts w:ascii="Times New Roman" w:hAnsi="Times New Roman" w:eastAsia="Times New Roman"/>
          <w:b w:val="0"/>
          <w:i/>
          <w:color w:val="505050"/>
          <w:sz w:val="28"/>
        </w:rPr>
        <w:t>Évaluation des projets • Total : 100 points • Seuil de sélection : 60 / 100</w:t>
      </w:r>
    </w:p>
    <w:p>
      <w:pPr>
        <w:spacing w:after="160" w:before="0"/>
      </w:pPr>
      <w:r>
        <w:rPr>
          <w:rFonts w:ascii="Times New Roman" w:hAnsi="Times New Roman" w:eastAsia="Times New Roman"/>
          <w:b/>
          <w:i w:val="0"/>
          <w:color w:val="800000"/>
          <w:sz w:val="28"/>
        </w:rPr>
        <w:t xml:space="preserve">Important : </w:t>
      </w:r>
      <w:r>
        <w:rPr>
          <w:rFonts w:ascii="Times New Roman" w:hAnsi="Times New Roman" w:eastAsia="Times New Roman"/>
          <w:b w:val="0"/>
          <w:i w:val="0"/>
          <w:sz w:val="28"/>
        </w:rPr>
        <w:t>l’ancrage territorial est vérifié au préalable dans les critères d’éligibilité (A3).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5"/>
        <w:gridCol w:w="2575"/>
        <w:gridCol w:w="2575"/>
        <w:gridCol w:w="2575"/>
        <w:gridCol w:w="2575"/>
        <w:gridCol w:w="2575"/>
      </w:tblGrid>
      <w:tr>
        <w:trPr>
          <w:cantSplit/>
          <w:tblHeader w:val="true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6"/>
              </w:rPr>
              <w:t>N°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6"/>
              </w:rPr>
              <w:t>Critère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6"/>
              </w:rPr>
              <w:t>Ce que le Comité recherche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6"/>
              </w:rPr>
              <w:t>Votre réponse</w:t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6"/>
              </w:rPr>
              <w:t>Points max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6"/>
              </w:rPr>
              <w:t>Note</w:t>
            </w:r>
          </w:p>
        </w:tc>
      </w:tr>
      <w:tr>
        <w:trPr>
          <w:cantSplit/>
          <w:trHeight w:val="936" w:hRule="atLeast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1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Pertinence climatique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Un problème climatique réel, précis et local à La Mé — pas une généralité copiée d'ailleurs.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20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</w:tc>
      </w:tr>
      <w:tr>
        <w:trPr>
          <w:cantSplit/>
          <w:trHeight w:val="936" w:hRule="atLeast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2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Portage réel par les jeunes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Des signes clairs que l'idée et la mise en œuvre viennent du groupe de jeunes lui-même, pas d'un adulte qui rédige à leur place.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20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</w:tc>
      </w:tr>
      <w:tr>
        <w:trPr>
          <w:cantSplit/>
          <w:trHeight w:val="936" w:hRule="atLeast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3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Faisabilité technique et budgétaire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Cohérence entre le budget, les activités prévues et les délais annoncés.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15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</w:tc>
      </w:tr>
      <w:tr>
        <w:trPr>
          <w:cantSplit/>
          <w:trHeight w:val="936" w:hRule="atLeast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4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Résultats mesurables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Des indicateurs chiffrés et vérifiables, ni trop faibles ni gonflés artificiellement.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15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</w:tc>
      </w:tr>
      <w:tr>
        <w:trPr>
          <w:cantSplit/>
          <w:trHeight w:val="936" w:hRule="atLeast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5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Inclusion et diversité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Le groupe intègre-t-il des jeunes filles et/ou des personnes en situation de handicap ? Valorisé comme un atout, sans quota obligatoire pour les groupes mixtes.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10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</w:tc>
      </w:tr>
      <w:tr>
        <w:trPr>
          <w:cantSplit/>
          <w:trHeight w:val="936" w:hRule="atLeast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6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Durabilité après la subvention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Un plan crédible de continuité du projet après la fin du financement.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15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</w:tc>
      </w:tr>
      <w:tr>
        <w:trPr>
          <w:cantSplit/>
          <w:trHeight w:val="936" w:hRule="atLeast"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7</w:t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Capacité de gestion de l'organisation hôte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Expérience de l'organisation hôte dans la gestion de fonds et la redevabilité envers un bailleur.</w:t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5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</w:tc>
      </w:tr>
      <w:tr>
        <w:trPr>
          <w:cantSplit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E5F0DA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</w:r>
          </w:p>
        </w:tc>
        <w:tc>
          <w:tcPr>
            <w:tcW w:type="dxa" w:w="2951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E5F0DA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TOTAL</w:t>
            </w:r>
          </w:p>
        </w:tc>
        <w:tc>
          <w:tcPr>
            <w:tcW w:type="dxa" w:w="3600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E5F0DA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</w:r>
          </w:p>
        </w:tc>
        <w:tc>
          <w:tcPr>
            <w:tcW w:type="dxa" w:w="3888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E5F0DA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</w:r>
          </w:p>
        </w:tc>
        <w:tc>
          <w:tcPr>
            <w:tcW w:type="dxa" w:w="122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E5F0DA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E5F0DA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</w:r>
          </w:p>
        </w:tc>
      </w:tr>
      <w:tr>
        <w:trPr>
          <w:cantSplit/>
        </w:trPr>
        <w:tc>
          <w:tcPr>
            <w:tcW w:type="dxa" w:w="792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FF2C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</w:r>
          </w:p>
        </w:tc>
        <w:tc>
          <w:tcPr>
            <w:tcW w:type="dxa" w:w="11663"/>
            <w:tcMar>
              <w:top w:w="80" w:type="dxa"/>
              <w:start w:w="85" w:type="dxa"/>
              <w:bottom w:w="80" w:type="dxa"/>
              <w:end w:w="85" w:type="dxa"/>
            </w:tcMar>
            <w:gridSpan w:val="4"/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FF2C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DÉCISION / STATUT : ________________________________________________</w:t>
            </w:r>
          </w:p>
        </w:tc>
        <w:tc>
          <w:tcPr>
            <w:tcW w:type="dxa" w:w="1584"/>
            <w:tcMar>
              <w:top w:w="80" w:type="dxa"/>
              <w:start w:w="85" w:type="dxa"/>
              <w:bottom w:w="80" w:type="dxa"/>
              <w:end w:w="85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FF2C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</w:r>
          </w:p>
        </w:tc>
      </w:tr>
    </w:tbl>
    <w:sectPr w:rsidR="00FC693F" w:rsidRPr="0006063C" w:rsidSect="00034616">
      <w:footerReference w:type="default" r:id="rId9"/>
      <w:pgSz w:w="16834" w:h="11909" w:orient="landscape"/>
      <w:pgMar w:top="605" w:right="691" w:bottom="792" w:left="691" w:header="72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8" w:space="4" w:color="086C6C"/>
      </w:pBdr>
    </w:pPr>
    <w:r>
      <w:rPr>
        <w:rFonts w:ascii="Times New Roman" w:hAnsi="Times New Roman" w:eastAsia="Times New Roman"/>
        <w:b/>
        <w:i w:val="0"/>
        <w:sz w:val="18"/>
      </w:rPr>
      <w:t xml:space="preserve">Conseil Régional de la Mé, BP 217 ADZOPE, Tél. : 27 23 58 45 75 / 07 58 13 24 97, E-mail : regiondelame@gmail.com  |  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e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 de notation — FJAC La Mé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